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D461640" w14:textId="7AF21AA5" w:rsidR="007C4C9A" w:rsidRDefault="007C4C9A" w:rsidP="007C4C9A">
      <w:r>
        <w:object w:dxaOrig="9609" w:dyaOrig="5393" w14:anchorId="7A51C0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62.3pt" o:ole="">
            <v:imagedata r:id="rId4" o:title=""/>
          </v:shape>
          <o:OLEObject Type="Embed" ProgID="PowerPoint.Slide.12" ShapeID="_x0000_i1025" DrawAspect="Content" ObjectID="_1615801457" r:id="rId5"/>
        </w:object>
      </w:r>
    </w:p>
    <w:p w14:paraId="78E4209B" w14:textId="77777777" w:rsidR="007C4C9A" w:rsidRDefault="007C4C9A" w:rsidP="003E0613">
      <w:pPr>
        <w:autoSpaceDE w:val="0"/>
        <w:autoSpaceDN w:val="0"/>
        <w:adjustRightInd w:val="0"/>
        <w:spacing w:after="0" w:line="240" w:lineRule="auto"/>
        <w:jc w:val="center"/>
        <w:rPr>
          <w:rFonts w:ascii="Times New Roman" w:hAnsi="Times New Roman" w:cs="Times New Roman"/>
          <w:sz w:val="24"/>
          <w:szCs w:val="24"/>
          <w:lang w:val="en-CA"/>
        </w:rPr>
      </w:pPr>
    </w:p>
    <w:p w14:paraId="0F4F1D95" w14:textId="77777777" w:rsidR="007C4C9A" w:rsidRDefault="007C4C9A" w:rsidP="003E0613">
      <w:pPr>
        <w:autoSpaceDE w:val="0"/>
        <w:autoSpaceDN w:val="0"/>
        <w:adjustRightInd w:val="0"/>
        <w:spacing w:after="0" w:line="240" w:lineRule="auto"/>
        <w:jc w:val="center"/>
        <w:rPr>
          <w:rFonts w:ascii="Times New Roman" w:hAnsi="Times New Roman" w:cs="Times New Roman"/>
          <w:sz w:val="24"/>
          <w:szCs w:val="24"/>
          <w:lang w:val="en-CA"/>
        </w:rPr>
      </w:pPr>
    </w:p>
    <w:p w14:paraId="38D90E37" w14:textId="77777777" w:rsidR="007C4C9A" w:rsidRDefault="007C4C9A" w:rsidP="003E0613">
      <w:pPr>
        <w:autoSpaceDE w:val="0"/>
        <w:autoSpaceDN w:val="0"/>
        <w:adjustRightInd w:val="0"/>
        <w:spacing w:after="0" w:line="240" w:lineRule="auto"/>
        <w:jc w:val="center"/>
        <w:rPr>
          <w:rFonts w:ascii="Times New Roman" w:hAnsi="Times New Roman" w:cs="Times New Roman"/>
          <w:sz w:val="24"/>
          <w:szCs w:val="24"/>
          <w:lang w:val="en-CA"/>
        </w:rPr>
      </w:pPr>
    </w:p>
    <w:p w14:paraId="70E41DA2" w14:textId="77777777" w:rsidR="007C4C9A" w:rsidRDefault="007C4C9A" w:rsidP="003E0613">
      <w:pPr>
        <w:autoSpaceDE w:val="0"/>
        <w:autoSpaceDN w:val="0"/>
        <w:adjustRightInd w:val="0"/>
        <w:spacing w:after="0" w:line="240" w:lineRule="auto"/>
        <w:jc w:val="center"/>
        <w:rPr>
          <w:rFonts w:ascii="Times New Roman" w:hAnsi="Times New Roman" w:cs="Times New Roman"/>
          <w:sz w:val="24"/>
          <w:szCs w:val="24"/>
          <w:lang w:val="en-CA"/>
        </w:rPr>
      </w:pPr>
    </w:p>
    <w:p w14:paraId="2EDD7D16" w14:textId="77777777" w:rsidR="003E0613" w:rsidRPr="003E0613" w:rsidRDefault="003E0613" w:rsidP="003E0613">
      <w:pPr>
        <w:autoSpaceDE w:val="0"/>
        <w:autoSpaceDN w:val="0"/>
        <w:adjustRightInd w:val="0"/>
        <w:spacing w:after="0" w:line="240" w:lineRule="auto"/>
        <w:jc w:val="center"/>
        <w:rPr>
          <w:rFonts w:ascii="Times New Roman" w:hAnsi="Times New Roman" w:cs="Times New Roman"/>
          <w:sz w:val="28"/>
          <w:szCs w:val="28"/>
        </w:rPr>
      </w:pPr>
    </w:p>
    <w:p w14:paraId="41E7260D"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4FC27B48"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Lexis Advance reveals that from 1833 to 2018, 346 cases originated in Arkansas (either state, federal or territorial) courts and ended up at the United States Supreme Court.  The following partial list indicates the cases that are the most interesting, significant or noteworthy.</w:t>
      </w:r>
    </w:p>
    <w:p w14:paraId="730061E7"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70B8D892" w14:textId="72F2D9C7" w:rsidR="003E0613" w:rsidRDefault="003E0613" w:rsidP="003E0613">
      <w:pPr>
        <w:autoSpaceDE w:val="0"/>
        <w:autoSpaceDN w:val="0"/>
        <w:adjustRightInd w:val="0"/>
        <w:spacing w:after="0" w:line="240" w:lineRule="auto"/>
        <w:rPr>
          <w:rFonts w:ascii="Times New Roman" w:hAnsi="Times New Roman" w:cs="Times New Roman"/>
          <w:sz w:val="28"/>
          <w:szCs w:val="28"/>
        </w:rPr>
      </w:pPr>
    </w:p>
    <w:p w14:paraId="6999924A" w14:textId="77777777" w:rsidR="00015C5F" w:rsidRPr="003E0613" w:rsidRDefault="00015C5F" w:rsidP="003E0613">
      <w:pPr>
        <w:autoSpaceDE w:val="0"/>
        <w:autoSpaceDN w:val="0"/>
        <w:adjustRightInd w:val="0"/>
        <w:spacing w:after="0" w:line="240" w:lineRule="auto"/>
        <w:rPr>
          <w:rFonts w:ascii="Times New Roman" w:hAnsi="Times New Roman" w:cs="Times New Roman"/>
          <w:sz w:val="28"/>
          <w:szCs w:val="28"/>
        </w:rPr>
      </w:pPr>
    </w:p>
    <w:p w14:paraId="7E594A67"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w:t>
      </w:r>
    </w:p>
    <w:p w14:paraId="3B0BC388" w14:textId="4D590FB2" w:rsidR="00015C5F" w:rsidRDefault="00015C5F" w:rsidP="003E0613">
      <w:pPr>
        <w:autoSpaceDE w:val="0"/>
        <w:autoSpaceDN w:val="0"/>
        <w:adjustRightInd w:val="0"/>
        <w:spacing w:after="0" w:line="240" w:lineRule="auto"/>
        <w:rPr>
          <w:rFonts w:ascii="Times New Roman" w:hAnsi="Times New Roman" w:cs="Times New Roman"/>
          <w:sz w:val="28"/>
          <w:szCs w:val="28"/>
        </w:rPr>
      </w:pPr>
    </w:p>
    <w:p w14:paraId="7301AB6C" w14:textId="595E217C"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roofErr w:type="spellStart"/>
      <w:r w:rsidRPr="003E0613">
        <w:rPr>
          <w:rFonts w:ascii="Times New Roman" w:hAnsi="Times New Roman" w:cs="Times New Roman"/>
          <w:sz w:val="28"/>
          <w:szCs w:val="28"/>
        </w:rPr>
        <w:t>Sampeyreac</w:t>
      </w:r>
      <w:proofErr w:type="spellEnd"/>
      <w:r w:rsidRPr="003E0613">
        <w:rPr>
          <w:rFonts w:ascii="Times New Roman" w:hAnsi="Times New Roman" w:cs="Times New Roman"/>
          <w:sz w:val="28"/>
          <w:szCs w:val="28"/>
        </w:rPr>
        <w:t xml:space="preserve"> v. United States, 32 U.S. 222 (1833)</w:t>
      </w:r>
      <w:r w:rsidR="00B41020">
        <w:rPr>
          <w:rFonts w:ascii="Times New Roman" w:hAnsi="Times New Roman" w:cs="Times New Roman"/>
          <w:sz w:val="28"/>
          <w:szCs w:val="28"/>
        </w:rPr>
        <w:t xml:space="preserve"> (from a territorial court</w:t>
      </w:r>
      <w:r w:rsidR="00D75214">
        <w:rPr>
          <w:rFonts w:ascii="Times New Roman" w:hAnsi="Times New Roman" w:cs="Times New Roman"/>
          <w:sz w:val="28"/>
          <w:szCs w:val="28"/>
        </w:rPr>
        <w:t>;</w:t>
      </w:r>
      <w:r w:rsidR="00AE7CAF">
        <w:rPr>
          <w:rFonts w:ascii="Times New Roman" w:hAnsi="Times New Roman" w:cs="Times New Roman"/>
          <w:sz w:val="28"/>
          <w:szCs w:val="28"/>
        </w:rPr>
        <w:t xml:space="preserve"> fictitious person</w:t>
      </w:r>
      <w:r w:rsidR="00B41020">
        <w:rPr>
          <w:rFonts w:ascii="Times New Roman" w:hAnsi="Times New Roman" w:cs="Times New Roman"/>
          <w:sz w:val="28"/>
          <w:szCs w:val="28"/>
        </w:rPr>
        <w:t>)</w:t>
      </w:r>
    </w:p>
    <w:p w14:paraId="221A435A"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64969A80" w14:textId="5B740C04"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Glenn v. United States, 54 U.S. 250 (1852)</w:t>
      </w:r>
      <w:r w:rsidR="004D2FDD">
        <w:rPr>
          <w:rFonts w:ascii="Times New Roman" w:hAnsi="Times New Roman" w:cs="Times New Roman"/>
          <w:sz w:val="28"/>
          <w:szCs w:val="28"/>
        </w:rPr>
        <w:t xml:space="preserve"> </w:t>
      </w:r>
      <w:r w:rsidRPr="003E0613">
        <w:rPr>
          <w:rFonts w:ascii="Times New Roman" w:hAnsi="Times New Roman" w:cs="Times New Roman"/>
          <w:sz w:val="28"/>
          <w:szCs w:val="28"/>
        </w:rPr>
        <w:t>(Demand for 500,000 acres based on 1794 Spanish land grant)</w:t>
      </w:r>
    </w:p>
    <w:p w14:paraId="00B2134B"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4A9AE236"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roofErr w:type="spellStart"/>
      <w:r w:rsidRPr="003E0613">
        <w:rPr>
          <w:rFonts w:ascii="Times New Roman" w:hAnsi="Times New Roman" w:cs="Times New Roman"/>
          <w:sz w:val="28"/>
          <w:szCs w:val="28"/>
        </w:rPr>
        <w:t>McAffee</w:t>
      </w:r>
      <w:proofErr w:type="spellEnd"/>
      <w:r w:rsidRPr="003E0613">
        <w:rPr>
          <w:rFonts w:ascii="Times New Roman" w:hAnsi="Times New Roman" w:cs="Times New Roman"/>
          <w:sz w:val="28"/>
          <w:szCs w:val="28"/>
        </w:rPr>
        <w:t xml:space="preserve"> v. </w:t>
      </w:r>
      <w:proofErr w:type="spellStart"/>
      <w:r w:rsidRPr="003E0613">
        <w:rPr>
          <w:rFonts w:ascii="Times New Roman" w:hAnsi="Times New Roman" w:cs="Times New Roman"/>
          <w:sz w:val="28"/>
          <w:szCs w:val="28"/>
        </w:rPr>
        <w:t>Crofford</w:t>
      </w:r>
      <w:proofErr w:type="spellEnd"/>
      <w:r w:rsidRPr="003E0613">
        <w:rPr>
          <w:rFonts w:ascii="Times New Roman" w:hAnsi="Times New Roman" w:cs="Times New Roman"/>
          <w:sz w:val="28"/>
          <w:szCs w:val="28"/>
        </w:rPr>
        <w:t xml:space="preserve">, 54 U.S. 447 (1852) (taking slaves from an Arkansas plantation) </w:t>
      </w:r>
    </w:p>
    <w:p w14:paraId="32E513C7"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1934764A" w14:textId="03EAC0A3"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roofErr w:type="spellStart"/>
      <w:r w:rsidRPr="003E0613">
        <w:rPr>
          <w:rFonts w:ascii="Times New Roman" w:hAnsi="Times New Roman" w:cs="Times New Roman"/>
          <w:sz w:val="28"/>
          <w:szCs w:val="28"/>
        </w:rPr>
        <w:t>McRea</w:t>
      </w:r>
      <w:proofErr w:type="spellEnd"/>
      <w:r w:rsidRPr="003E0613">
        <w:rPr>
          <w:rFonts w:ascii="Times New Roman" w:hAnsi="Times New Roman" w:cs="Times New Roman"/>
          <w:sz w:val="28"/>
          <w:szCs w:val="28"/>
        </w:rPr>
        <w:t xml:space="preserve"> v. Bank of Alabama, 60 U.S. 376 (1856)</w:t>
      </w:r>
      <w:r w:rsidR="00AE19FF">
        <w:rPr>
          <w:rFonts w:ascii="Times New Roman" w:hAnsi="Times New Roman" w:cs="Times New Roman"/>
          <w:sz w:val="28"/>
          <w:szCs w:val="28"/>
        </w:rPr>
        <w:t xml:space="preserve"> </w:t>
      </w:r>
      <w:r w:rsidRPr="003E0613">
        <w:rPr>
          <w:rFonts w:ascii="Times New Roman" w:hAnsi="Times New Roman" w:cs="Times New Roman"/>
          <w:sz w:val="28"/>
          <w:szCs w:val="28"/>
        </w:rPr>
        <w:t>(promissory note for slaves)</w:t>
      </w:r>
    </w:p>
    <w:p w14:paraId="0CAAA2D1"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0934ECAB" w14:textId="5FECEACE"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Hanger v. Abbott, 73 U.S. 532 (1867)</w:t>
      </w:r>
      <w:r w:rsidR="00AE19FF">
        <w:rPr>
          <w:rFonts w:ascii="Times New Roman" w:hAnsi="Times New Roman" w:cs="Times New Roman"/>
          <w:sz w:val="28"/>
          <w:szCs w:val="28"/>
        </w:rPr>
        <w:t xml:space="preserve"> </w:t>
      </w:r>
      <w:r w:rsidRPr="003E0613">
        <w:rPr>
          <w:rFonts w:ascii="Times New Roman" w:hAnsi="Times New Roman" w:cs="Times New Roman"/>
          <w:sz w:val="28"/>
          <w:szCs w:val="28"/>
        </w:rPr>
        <w:t>(statutes of limitations during the Civil War)</w:t>
      </w:r>
    </w:p>
    <w:p w14:paraId="4E680D33"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08CF3665"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Osborn v. Nicholson, 80 U.S. 654 (1871) (contract for sale of slave)</w:t>
      </w:r>
    </w:p>
    <w:p w14:paraId="10668481"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47F60B1A" w14:textId="60E3DE5B"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roofErr w:type="spellStart"/>
      <w:r w:rsidRPr="003E0613">
        <w:rPr>
          <w:rFonts w:ascii="Times New Roman" w:hAnsi="Times New Roman" w:cs="Times New Roman"/>
          <w:sz w:val="28"/>
          <w:szCs w:val="28"/>
        </w:rPr>
        <w:t>Hanauer</w:t>
      </w:r>
      <w:proofErr w:type="spellEnd"/>
      <w:r w:rsidRPr="003E0613">
        <w:rPr>
          <w:rFonts w:ascii="Times New Roman" w:hAnsi="Times New Roman" w:cs="Times New Roman"/>
          <w:sz w:val="28"/>
          <w:szCs w:val="28"/>
        </w:rPr>
        <w:t xml:space="preserve"> v. Woodruff, 82 U.S. 439 (1872)</w:t>
      </w:r>
      <w:r w:rsidR="00B41020">
        <w:rPr>
          <w:rFonts w:ascii="Times New Roman" w:hAnsi="Times New Roman" w:cs="Times New Roman"/>
          <w:sz w:val="28"/>
          <w:szCs w:val="28"/>
        </w:rPr>
        <w:t xml:space="preserve"> </w:t>
      </w:r>
      <w:r w:rsidRPr="003E0613">
        <w:rPr>
          <w:rFonts w:ascii="Times New Roman" w:hAnsi="Times New Roman" w:cs="Times New Roman"/>
          <w:sz w:val="28"/>
          <w:szCs w:val="28"/>
        </w:rPr>
        <w:t>(validity of Confederate bonds)</w:t>
      </w:r>
    </w:p>
    <w:p w14:paraId="4514ADCD"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455C64A5" w14:textId="0ED1096B"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Ross v. Jones, 89 U.S. 576 (1874) (</w:t>
      </w:r>
      <w:r w:rsidR="00AE19FF">
        <w:rPr>
          <w:rFonts w:ascii="Times New Roman" w:hAnsi="Times New Roman" w:cs="Times New Roman"/>
          <w:sz w:val="28"/>
          <w:szCs w:val="28"/>
        </w:rPr>
        <w:t xml:space="preserve">statute of limitations </w:t>
      </w:r>
      <w:r w:rsidRPr="003E0613">
        <w:rPr>
          <w:rFonts w:ascii="Times New Roman" w:hAnsi="Times New Roman" w:cs="Times New Roman"/>
          <w:sz w:val="28"/>
          <w:szCs w:val="28"/>
        </w:rPr>
        <w:t>during war)</w:t>
      </w:r>
    </w:p>
    <w:p w14:paraId="048DD940"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7239F21D" w14:textId="5157E77A"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Hall v. United States,150 U.S. 76 (1893) (prejudicial closing arguments</w:t>
      </w:r>
    </w:p>
    <w:p w14:paraId="340A3B2C"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078CCB8C" w14:textId="29ED188B"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Allis v. United States, 155 U.S. 117 (1894)</w:t>
      </w:r>
      <w:r w:rsidR="00AE19FF">
        <w:rPr>
          <w:rFonts w:ascii="Times New Roman" w:hAnsi="Times New Roman" w:cs="Times New Roman"/>
          <w:sz w:val="28"/>
          <w:szCs w:val="28"/>
        </w:rPr>
        <w:t xml:space="preserve"> (bank fraud)</w:t>
      </w:r>
    </w:p>
    <w:p w14:paraId="3F69750E"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4BBC6098"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Allen v. United States, 164 U.S. 492 (1896) (the “dynamite charge”)</w:t>
      </w:r>
    </w:p>
    <w:p w14:paraId="14D27E23"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6A3DD32A" w14:textId="5086D618" w:rsid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Moore v. Dempsey, 261 U.S. 86 (1923)</w:t>
      </w:r>
      <w:r w:rsidR="00AE19FF">
        <w:rPr>
          <w:rFonts w:ascii="Times New Roman" w:hAnsi="Times New Roman" w:cs="Times New Roman"/>
          <w:sz w:val="28"/>
          <w:szCs w:val="28"/>
        </w:rPr>
        <w:t xml:space="preserve"> </w:t>
      </w:r>
      <w:r w:rsidRPr="003E0613">
        <w:rPr>
          <w:rFonts w:ascii="Times New Roman" w:hAnsi="Times New Roman" w:cs="Times New Roman"/>
          <w:sz w:val="28"/>
          <w:szCs w:val="28"/>
        </w:rPr>
        <w:t>(Elaine massacre</w:t>
      </w:r>
      <w:r w:rsidR="00AE7CAF">
        <w:rPr>
          <w:rFonts w:ascii="Times New Roman" w:hAnsi="Times New Roman" w:cs="Times New Roman"/>
          <w:sz w:val="28"/>
          <w:szCs w:val="28"/>
        </w:rPr>
        <w:t xml:space="preserve"> of 1919</w:t>
      </w:r>
      <w:r w:rsidRPr="003E0613">
        <w:rPr>
          <w:rFonts w:ascii="Times New Roman" w:hAnsi="Times New Roman" w:cs="Times New Roman"/>
          <w:sz w:val="28"/>
          <w:szCs w:val="28"/>
        </w:rPr>
        <w:t>; habeas corpus after murder conviction in state court)</w:t>
      </w:r>
    </w:p>
    <w:p w14:paraId="1D5BFCDB" w14:textId="6D002C3B" w:rsidR="006672BD" w:rsidRDefault="006672BD" w:rsidP="003E0613">
      <w:pPr>
        <w:autoSpaceDE w:val="0"/>
        <w:autoSpaceDN w:val="0"/>
        <w:adjustRightInd w:val="0"/>
        <w:spacing w:after="0" w:line="240" w:lineRule="auto"/>
        <w:rPr>
          <w:rFonts w:ascii="Times New Roman" w:hAnsi="Times New Roman" w:cs="Times New Roman"/>
          <w:sz w:val="28"/>
          <w:szCs w:val="28"/>
        </w:rPr>
      </w:pPr>
    </w:p>
    <w:p w14:paraId="3AADC8FF" w14:textId="2DDFCF21" w:rsidR="006672BD" w:rsidRPr="003E0613" w:rsidRDefault="006672BD" w:rsidP="006672BD">
      <w:pPr>
        <w:autoSpaceDE w:val="0"/>
        <w:autoSpaceDN w:val="0"/>
        <w:adjustRightInd w:val="0"/>
        <w:spacing w:after="0" w:line="240" w:lineRule="auto"/>
        <w:jc w:val="center"/>
        <w:rPr>
          <w:rFonts w:ascii="Times New Roman" w:hAnsi="Times New Roman" w:cs="Times New Roman"/>
          <w:sz w:val="28"/>
          <w:szCs w:val="28"/>
        </w:rPr>
      </w:pPr>
      <w:r w:rsidRPr="006672BD">
        <w:rPr>
          <w:rFonts w:ascii="Times New Roman" w:hAnsi="Times New Roman" w:cs="Times New Roman"/>
          <w:noProof/>
          <w:sz w:val="28"/>
          <w:szCs w:val="28"/>
        </w:rPr>
        <w:drawing>
          <wp:inline distT="0" distB="0" distL="0" distR="0" wp14:anchorId="7E19E99E" wp14:editId="3DAFFE99">
            <wp:extent cx="4286250" cy="241055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15741" cy="2427144"/>
                    </a:xfrm>
                    <a:prstGeom prst="rect">
                      <a:avLst/>
                    </a:prstGeom>
                  </pic:spPr>
                </pic:pic>
              </a:graphicData>
            </a:graphic>
          </wp:inline>
        </w:drawing>
      </w:r>
    </w:p>
    <w:p w14:paraId="60DAD2EA"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45DA40FC" w14:textId="6B4EF150"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Arlington Hotel v. Fant, 273 U.S. 439 (1929)</w:t>
      </w:r>
      <w:r w:rsidR="00AE19FF">
        <w:rPr>
          <w:rFonts w:ascii="Times New Roman" w:hAnsi="Times New Roman" w:cs="Times New Roman"/>
          <w:sz w:val="28"/>
          <w:szCs w:val="28"/>
        </w:rPr>
        <w:t xml:space="preserve"> (guests at hotel suffered damage to their person</w:t>
      </w:r>
      <w:r w:rsidR="00D75214">
        <w:rPr>
          <w:rFonts w:ascii="Times New Roman" w:hAnsi="Times New Roman" w:cs="Times New Roman"/>
          <w:sz w:val="28"/>
          <w:szCs w:val="28"/>
        </w:rPr>
        <w:t>al</w:t>
      </w:r>
      <w:r w:rsidR="00AE19FF">
        <w:rPr>
          <w:rFonts w:ascii="Times New Roman" w:hAnsi="Times New Roman" w:cs="Times New Roman"/>
          <w:sz w:val="28"/>
          <w:szCs w:val="28"/>
        </w:rPr>
        <w:t xml:space="preserve"> property caused by fire)</w:t>
      </w:r>
    </w:p>
    <w:p w14:paraId="60FBE58D"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3AA2428A" w14:textId="534EEB52"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 xml:space="preserve">Superior Bathhouse v. </w:t>
      </w:r>
      <w:proofErr w:type="spellStart"/>
      <w:r w:rsidRPr="003E0613">
        <w:rPr>
          <w:rFonts w:ascii="Times New Roman" w:hAnsi="Times New Roman" w:cs="Times New Roman"/>
          <w:sz w:val="28"/>
          <w:szCs w:val="28"/>
        </w:rPr>
        <w:t>McCarroll</w:t>
      </w:r>
      <w:proofErr w:type="spellEnd"/>
      <w:r w:rsidRPr="003E0613">
        <w:rPr>
          <w:rFonts w:ascii="Times New Roman" w:hAnsi="Times New Roman" w:cs="Times New Roman"/>
          <w:sz w:val="28"/>
          <w:szCs w:val="28"/>
        </w:rPr>
        <w:t>, 312 U.S. 176 (1941)</w:t>
      </w:r>
      <w:r w:rsidR="00AE19FF">
        <w:rPr>
          <w:rFonts w:ascii="Times New Roman" w:hAnsi="Times New Roman" w:cs="Times New Roman"/>
          <w:sz w:val="28"/>
          <w:szCs w:val="28"/>
        </w:rPr>
        <w:t xml:space="preserve"> </w:t>
      </w:r>
      <w:r w:rsidRPr="003E0613">
        <w:rPr>
          <w:rFonts w:ascii="Times New Roman" w:hAnsi="Times New Roman" w:cs="Times New Roman"/>
          <w:sz w:val="28"/>
          <w:szCs w:val="28"/>
        </w:rPr>
        <w:t>(state tax on federal bathhouse)</w:t>
      </w:r>
    </w:p>
    <w:p w14:paraId="7DDF8CAF"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04250CA4" w14:textId="6611612F"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State of Arkansas v. State of Texas, 346 U.S. 368 (1953)</w:t>
      </w:r>
      <w:r w:rsidR="00AE19FF">
        <w:rPr>
          <w:rFonts w:ascii="Times New Roman" w:hAnsi="Times New Roman" w:cs="Times New Roman"/>
          <w:sz w:val="28"/>
          <w:szCs w:val="28"/>
        </w:rPr>
        <w:t xml:space="preserve"> </w:t>
      </w:r>
      <w:r w:rsidRPr="003E0613">
        <w:rPr>
          <w:rFonts w:ascii="Times New Roman" w:hAnsi="Times New Roman" w:cs="Times New Roman"/>
          <w:sz w:val="28"/>
          <w:szCs w:val="28"/>
        </w:rPr>
        <w:t>(contract; University of Arkansas brings an original action against the State of Texas)</w:t>
      </w:r>
    </w:p>
    <w:p w14:paraId="1C6294D2" w14:textId="17C70FFE" w:rsidR="003E0613" w:rsidRDefault="003E0613" w:rsidP="003E0613">
      <w:pPr>
        <w:autoSpaceDE w:val="0"/>
        <w:autoSpaceDN w:val="0"/>
        <w:adjustRightInd w:val="0"/>
        <w:spacing w:after="0" w:line="240" w:lineRule="auto"/>
        <w:rPr>
          <w:rFonts w:ascii="Times New Roman" w:hAnsi="Times New Roman" w:cs="Times New Roman"/>
          <w:sz w:val="28"/>
          <w:szCs w:val="28"/>
        </w:rPr>
      </w:pPr>
    </w:p>
    <w:p w14:paraId="4ABD4FB3" w14:textId="5BA76A5B" w:rsidR="00015C5F" w:rsidRDefault="00015C5F" w:rsidP="003E0613">
      <w:pPr>
        <w:autoSpaceDE w:val="0"/>
        <w:autoSpaceDN w:val="0"/>
        <w:adjustRightInd w:val="0"/>
        <w:spacing w:after="0" w:line="240" w:lineRule="auto"/>
        <w:rPr>
          <w:rFonts w:ascii="Times New Roman" w:hAnsi="Times New Roman" w:cs="Times New Roman"/>
          <w:sz w:val="28"/>
          <w:szCs w:val="28"/>
        </w:rPr>
      </w:pPr>
    </w:p>
    <w:p w14:paraId="40A80737" w14:textId="77777777" w:rsidR="00015C5F" w:rsidRPr="003E0613" w:rsidRDefault="00015C5F" w:rsidP="003E0613">
      <w:pPr>
        <w:autoSpaceDE w:val="0"/>
        <w:autoSpaceDN w:val="0"/>
        <w:adjustRightInd w:val="0"/>
        <w:spacing w:after="0" w:line="240" w:lineRule="auto"/>
        <w:rPr>
          <w:rFonts w:ascii="Times New Roman" w:hAnsi="Times New Roman" w:cs="Times New Roman"/>
          <w:sz w:val="28"/>
          <w:szCs w:val="28"/>
        </w:rPr>
      </w:pPr>
    </w:p>
    <w:p w14:paraId="0D63D45A" w14:textId="27914A0E" w:rsid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Cooper v. Aaron, 358 U.S. 1(1958) (Little Rock desegregation)</w:t>
      </w:r>
    </w:p>
    <w:p w14:paraId="0BD2B502" w14:textId="77777777" w:rsidR="00020D1A" w:rsidRDefault="00020D1A" w:rsidP="003E0613">
      <w:pPr>
        <w:autoSpaceDE w:val="0"/>
        <w:autoSpaceDN w:val="0"/>
        <w:adjustRightInd w:val="0"/>
        <w:spacing w:after="0" w:line="240" w:lineRule="auto"/>
        <w:rPr>
          <w:rFonts w:ascii="Times New Roman" w:hAnsi="Times New Roman" w:cs="Times New Roman"/>
          <w:sz w:val="28"/>
          <w:szCs w:val="28"/>
        </w:rPr>
      </w:pPr>
    </w:p>
    <w:p w14:paraId="26D93438" w14:textId="73E57341" w:rsidR="006672BD" w:rsidRDefault="00020D1A" w:rsidP="00020D1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object w:dxaOrig="9609" w:dyaOrig="5393" w14:anchorId="0EB1F632">
          <v:shape id="_x0000_i1026" type="#_x0000_t75" style="width:379.9pt;height:213.95pt" o:ole="">
            <v:imagedata r:id="rId7" o:title=""/>
          </v:shape>
          <o:OLEObject Type="Embed" ProgID="PowerPoint.Slide.12" ShapeID="_x0000_i1026" DrawAspect="Content" ObjectID="_1615801458" r:id="rId8"/>
        </w:object>
      </w:r>
    </w:p>
    <w:p w14:paraId="3CAEA7A2" w14:textId="2326A27C" w:rsidR="006672BD" w:rsidRPr="003E0613" w:rsidRDefault="006672BD" w:rsidP="006672BD">
      <w:pPr>
        <w:autoSpaceDE w:val="0"/>
        <w:autoSpaceDN w:val="0"/>
        <w:adjustRightInd w:val="0"/>
        <w:spacing w:after="0" w:line="240" w:lineRule="auto"/>
        <w:jc w:val="center"/>
        <w:rPr>
          <w:rFonts w:ascii="Times New Roman" w:hAnsi="Times New Roman" w:cs="Times New Roman"/>
          <w:sz w:val="28"/>
          <w:szCs w:val="28"/>
        </w:rPr>
      </w:pPr>
    </w:p>
    <w:p w14:paraId="49D63705"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3A0988BE" w14:textId="43CA3C96"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Shelton v. Tucker, 364 U.S. 479 (1960)</w:t>
      </w:r>
      <w:r w:rsidR="00AE19FF">
        <w:rPr>
          <w:rFonts w:ascii="Times New Roman" w:hAnsi="Times New Roman" w:cs="Times New Roman"/>
          <w:sz w:val="28"/>
          <w:szCs w:val="28"/>
        </w:rPr>
        <w:t xml:space="preserve"> </w:t>
      </w:r>
      <w:r w:rsidRPr="003E0613">
        <w:rPr>
          <w:rFonts w:ascii="Times New Roman" w:hAnsi="Times New Roman" w:cs="Times New Roman"/>
          <w:sz w:val="28"/>
          <w:szCs w:val="28"/>
        </w:rPr>
        <w:t>(loyalty oath for teachers)</w:t>
      </w:r>
    </w:p>
    <w:p w14:paraId="1ACFB745"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2DB6882B" w14:textId="41383EF6" w:rsid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 xml:space="preserve">Hamm v. Rock Hill; </w:t>
      </w:r>
      <w:proofErr w:type="spellStart"/>
      <w:r w:rsidRPr="003E0613">
        <w:rPr>
          <w:rFonts w:ascii="Times New Roman" w:hAnsi="Times New Roman" w:cs="Times New Roman"/>
          <w:sz w:val="28"/>
          <w:szCs w:val="28"/>
        </w:rPr>
        <w:t>Lupper</w:t>
      </w:r>
      <w:proofErr w:type="spellEnd"/>
      <w:r w:rsidRPr="003E0613">
        <w:rPr>
          <w:rFonts w:ascii="Times New Roman" w:hAnsi="Times New Roman" w:cs="Times New Roman"/>
          <w:sz w:val="28"/>
          <w:szCs w:val="28"/>
        </w:rPr>
        <w:t xml:space="preserve"> v. State of Arkansas, 379 U.S. 306 (1964)</w:t>
      </w:r>
      <w:r w:rsidR="00AE19FF">
        <w:rPr>
          <w:rFonts w:ascii="Times New Roman" w:hAnsi="Times New Roman" w:cs="Times New Roman"/>
          <w:sz w:val="28"/>
          <w:szCs w:val="28"/>
        </w:rPr>
        <w:t xml:space="preserve"> </w:t>
      </w:r>
      <w:r w:rsidRPr="003E0613">
        <w:rPr>
          <w:rFonts w:ascii="Times New Roman" w:hAnsi="Times New Roman" w:cs="Times New Roman"/>
          <w:sz w:val="28"/>
          <w:szCs w:val="28"/>
        </w:rPr>
        <w:t xml:space="preserve">(conviction for sitting </w:t>
      </w:r>
      <w:r w:rsidR="00D75214">
        <w:rPr>
          <w:rFonts w:ascii="Times New Roman" w:hAnsi="Times New Roman" w:cs="Times New Roman"/>
          <w:sz w:val="28"/>
          <w:szCs w:val="28"/>
        </w:rPr>
        <w:t>at</w:t>
      </w:r>
      <w:r w:rsidRPr="003E0613">
        <w:rPr>
          <w:rFonts w:ascii="Times New Roman" w:hAnsi="Times New Roman" w:cs="Times New Roman"/>
          <w:sz w:val="28"/>
          <w:szCs w:val="28"/>
        </w:rPr>
        <w:t xml:space="preserve"> a lunch counter in </w:t>
      </w:r>
      <w:r w:rsidR="00AE19FF">
        <w:rPr>
          <w:rFonts w:ascii="Times New Roman" w:hAnsi="Times New Roman" w:cs="Times New Roman"/>
          <w:sz w:val="28"/>
          <w:szCs w:val="28"/>
        </w:rPr>
        <w:t xml:space="preserve">Blass Department Store in </w:t>
      </w:r>
      <w:r w:rsidRPr="003E0613">
        <w:rPr>
          <w:rFonts w:ascii="Times New Roman" w:hAnsi="Times New Roman" w:cs="Times New Roman"/>
          <w:sz w:val="28"/>
          <w:szCs w:val="28"/>
        </w:rPr>
        <w:t>Little Rock)</w:t>
      </w:r>
    </w:p>
    <w:p w14:paraId="379F1889" w14:textId="6D7D11D0" w:rsidR="00E07C78" w:rsidRDefault="00E07C78" w:rsidP="003E0613">
      <w:pPr>
        <w:autoSpaceDE w:val="0"/>
        <w:autoSpaceDN w:val="0"/>
        <w:adjustRightInd w:val="0"/>
        <w:spacing w:after="0" w:line="240" w:lineRule="auto"/>
        <w:rPr>
          <w:rFonts w:ascii="Times New Roman" w:hAnsi="Times New Roman" w:cs="Times New Roman"/>
          <w:sz w:val="28"/>
          <w:szCs w:val="28"/>
        </w:rPr>
      </w:pPr>
    </w:p>
    <w:p w14:paraId="722154CA" w14:textId="77777777" w:rsidR="00E07C78" w:rsidRDefault="00E07C78" w:rsidP="003E0613">
      <w:pPr>
        <w:autoSpaceDE w:val="0"/>
        <w:autoSpaceDN w:val="0"/>
        <w:adjustRightInd w:val="0"/>
        <w:spacing w:after="0" w:line="240" w:lineRule="auto"/>
        <w:rPr>
          <w:rFonts w:ascii="Times New Roman" w:hAnsi="Times New Roman" w:cs="Times New Roman"/>
          <w:sz w:val="28"/>
          <w:szCs w:val="28"/>
        </w:rPr>
      </w:pPr>
    </w:p>
    <w:p w14:paraId="702CECA1" w14:textId="0929A0E0" w:rsidR="00E07C78" w:rsidRDefault="00E07C78" w:rsidP="00E07C78">
      <w:pPr>
        <w:autoSpaceDE w:val="0"/>
        <w:autoSpaceDN w:val="0"/>
        <w:adjustRightInd w:val="0"/>
        <w:spacing w:after="0" w:line="240" w:lineRule="auto"/>
        <w:jc w:val="center"/>
        <w:rPr>
          <w:rFonts w:ascii="Times New Roman" w:hAnsi="Times New Roman" w:cs="Times New Roman"/>
          <w:sz w:val="28"/>
          <w:szCs w:val="28"/>
        </w:rPr>
      </w:pPr>
      <w:r w:rsidRPr="00E07C78">
        <w:rPr>
          <w:rFonts w:ascii="Times New Roman" w:hAnsi="Times New Roman" w:cs="Times New Roman"/>
          <w:noProof/>
          <w:sz w:val="28"/>
          <w:szCs w:val="28"/>
        </w:rPr>
        <w:drawing>
          <wp:inline distT="0" distB="0" distL="0" distR="0" wp14:anchorId="2964E9C0" wp14:editId="64F59843">
            <wp:extent cx="4323942" cy="2431757"/>
            <wp:effectExtent l="0" t="0" r="63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83386" cy="2465188"/>
                    </a:xfrm>
                    <a:prstGeom prst="rect">
                      <a:avLst/>
                    </a:prstGeom>
                  </pic:spPr>
                </pic:pic>
              </a:graphicData>
            </a:graphic>
          </wp:inline>
        </w:drawing>
      </w:r>
    </w:p>
    <w:p w14:paraId="1D0D6753" w14:textId="77777777" w:rsidR="00015C5F" w:rsidRDefault="00015C5F" w:rsidP="00E07C78">
      <w:pPr>
        <w:autoSpaceDE w:val="0"/>
        <w:autoSpaceDN w:val="0"/>
        <w:adjustRightInd w:val="0"/>
        <w:spacing w:after="0" w:line="240" w:lineRule="auto"/>
        <w:jc w:val="center"/>
        <w:rPr>
          <w:rFonts w:ascii="Times New Roman" w:hAnsi="Times New Roman" w:cs="Times New Roman"/>
          <w:sz w:val="28"/>
          <w:szCs w:val="28"/>
        </w:rPr>
      </w:pPr>
    </w:p>
    <w:p w14:paraId="6810802E" w14:textId="14DEB4ED"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Epperson v. Arkansas, 393 U.S. 97 (1968)</w:t>
      </w:r>
      <w:r w:rsidR="00AE19FF">
        <w:rPr>
          <w:rFonts w:ascii="Times New Roman" w:hAnsi="Times New Roman" w:cs="Times New Roman"/>
          <w:sz w:val="28"/>
          <w:szCs w:val="28"/>
        </w:rPr>
        <w:t xml:space="preserve"> </w:t>
      </w:r>
      <w:r w:rsidRPr="003E0613">
        <w:rPr>
          <w:rFonts w:ascii="Times New Roman" w:hAnsi="Times New Roman" w:cs="Times New Roman"/>
          <w:sz w:val="28"/>
          <w:szCs w:val="28"/>
        </w:rPr>
        <w:t>(statute banning the teaching of evolution)</w:t>
      </w:r>
    </w:p>
    <w:p w14:paraId="5C126669"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76BF716C" w14:textId="77777777" w:rsidR="00015C5F" w:rsidRDefault="00015C5F" w:rsidP="003E0613">
      <w:pPr>
        <w:autoSpaceDE w:val="0"/>
        <w:autoSpaceDN w:val="0"/>
        <w:adjustRightInd w:val="0"/>
        <w:spacing w:after="0" w:line="240" w:lineRule="auto"/>
        <w:rPr>
          <w:rFonts w:ascii="Times New Roman" w:hAnsi="Times New Roman" w:cs="Times New Roman"/>
          <w:sz w:val="28"/>
          <w:szCs w:val="28"/>
        </w:rPr>
      </w:pPr>
    </w:p>
    <w:p w14:paraId="48EFB418" w14:textId="1092B0B1"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lastRenderedPageBreak/>
        <w:t>Arkansas v. Tennessee, 397 U.S. 88 (1970)</w:t>
      </w:r>
      <w:r w:rsidR="00AE19FF">
        <w:rPr>
          <w:rFonts w:ascii="Times New Roman" w:hAnsi="Times New Roman" w:cs="Times New Roman"/>
          <w:sz w:val="28"/>
          <w:szCs w:val="28"/>
        </w:rPr>
        <w:t xml:space="preserve"> </w:t>
      </w:r>
      <w:r w:rsidRPr="003E0613">
        <w:rPr>
          <w:rFonts w:ascii="Times New Roman" w:hAnsi="Times New Roman" w:cs="Times New Roman"/>
          <w:sz w:val="28"/>
          <w:szCs w:val="28"/>
        </w:rPr>
        <w:t>(boundary dispute)</w:t>
      </w:r>
    </w:p>
    <w:p w14:paraId="2EDCD06A"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68344839" w14:textId="6F37557C"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Mississippi v. Arkansas, 415 U.S. 289 (1974)</w:t>
      </w:r>
      <w:r w:rsidR="00AE19FF">
        <w:rPr>
          <w:rFonts w:ascii="Times New Roman" w:hAnsi="Times New Roman" w:cs="Times New Roman"/>
          <w:sz w:val="28"/>
          <w:szCs w:val="28"/>
        </w:rPr>
        <w:t xml:space="preserve"> (boundary dispute)</w:t>
      </w:r>
    </w:p>
    <w:p w14:paraId="38C3AB1E"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458873C4" w14:textId="38D7744D"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Hutto v. Finney, 437 U.S. 678 (1978)</w:t>
      </w:r>
      <w:r w:rsidR="00AE19FF">
        <w:rPr>
          <w:rFonts w:ascii="Times New Roman" w:hAnsi="Times New Roman" w:cs="Times New Roman"/>
          <w:sz w:val="28"/>
          <w:szCs w:val="28"/>
        </w:rPr>
        <w:t xml:space="preserve"> </w:t>
      </w:r>
      <w:r w:rsidRPr="003E0613">
        <w:rPr>
          <w:rFonts w:ascii="Times New Roman" w:hAnsi="Times New Roman" w:cs="Times New Roman"/>
          <w:sz w:val="28"/>
          <w:szCs w:val="28"/>
        </w:rPr>
        <w:t>(cruel and unusual punishment; Arkansas prison system)</w:t>
      </w:r>
    </w:p>
    <w:p w14:paraId="1ECE0630"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60D02D10" w14:textId="3C958A5C"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Arkansas v. Sanders, 442 U.S. 753 (1979)</w:t>
      </w:r>
      <w:r w:rsidR="00AE19FF">
        <w:rPr>
          <w:rFonts w:ascii="Times New Roman" w:hAnsi="Times New Roman" w:cs="Times New Roman"/>
          <w:sz w:val="28"/>
          <w:szCs w:val="28"/>
        </w:rPr>
        <w:t xml:space="preserve"> </w:t>
      </w:r>
      <w:r w:rsidRPr="003E0613">
        <w:rPr>
          <w:rFonts w:ascii="Times New Roman" w:hAnsi="Times New Roman" w:cs="Times New Roman"/>
          <w:sz w:val="28"/>
          <w:szCs w:val="28"/>
        </w:rPr>
        <w:t>(search of taxicab)</w:t>
      </w:r>
    </w:p>
    <w:p w14:paraId="2D5D9F8C"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7BBE8470" w14:textId="007C5377" w:rsid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Hill v. Lockhart, 474 U.S. 52 (1985)</w:t>
      </w:r>
      <w:r w:rsidR="00AE19FF">
        <w:rPr>
          <w:rFonts w:ascii="Times New Roman" w:hAnsi="Times New Roman" w:cs="Times New Roman"/>
          <w:sz w:val="28"/>
          <w:szCs w:val="28"/>
        </w:rPr>
        <w:t xml:space="preserve"> </w:t>
      </w:r>
      <w:r w:rsidRPr="003E0613">
        <w:rPr>
          <w:rFonts w:ascii="Times New Roman" w:hAnsi="Times New Roman" w:cs="Times New Roman"/>
          <w:sz w:val="28"/>
          <w:szCs w:val="28"/>
        </w:rPr>
        <w:t>(guilty plea; ineffective assistance of counsel)</w:t>
      </w:r>
    </w:p>
    <w:p w14:paraId="560ACF78" w14:textId="77777777" w:rsidR="00AE19FF" w:rsidRPr="003E0613" w:rsidRDefault="00AE19FF" w:rsidP="003E0613">
      <w:pPr>
        <w:autoSpaceDE w:val="0"/>
        <w:autoSpaceDN w:val="0"/>
        <w:adjustRightInd w:val="0"/>
        <w:spacing w:after="0" w:line="240" w:lineRule="auto"/>
        <w:rPr>
          <w:rFonts w:ascii="Times New Roman" w:hAnsi="Times New Roman" w:cs="Times New Roman"/>
          <w:sz w:val="28"/>
          <w:szCs w:val="28"/>
        </w:rPr>
      </w:pPr>
    </w:p>
    <w:p w14:paraId="56EBC0EF" w14:textId="03697A0F"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Rose v. Arkansas State Police, 479 U.S. 1 (1986) (Arkansas workers’ compensation and federal Public Safety Officers’ Death Benefits Act)</w:t>
      </w:r>
    </w:p>
    <w:p w14:paraId="2D558198"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445965DB" w14:textId="1578E2C0"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State of Arkansas v. Cherokee Nation of Oklahoma, 480 U.S. 700</w:t>
      </w:r>
      <w:r w:rsidR="00AE19FF">
        <w:rPr>
          <w:rFonts w:ascii="Times New Roman" w:hAnsi="Times New Roman" w:cs="Times New Roman"/>
          <w:sz w:val="28"/>
          <w:szCs w:val="28"/>
        </w:rPr>
        <w:t xml:space="preserve"> </w:t>
      </w:r>
      <w:r w:rsidRPr="003E0613">
        <w:rPr>
          <w:rFonts w:ascii="Times New Roman" w:hAnsi="Times New Roman" w:cs="Times New Roman"/>
          <w:sz w:val="28"/>
          <w:szCs w:val="28"/>
        </w:rPr>
        <w:t>(1987)</w:t>
      </w:r>
      <w:r w:rsidR="00AE19FF">
        <w:rPr>
          <w:rFonts w:ascii="Times New Roman" w:hAnsi="Times New Roman" w:cs="Times New Roman"/>
          <w:sz w:val="28"/>
          <w:szCs w:val="28"/>
        </w:rPr>
        <w:t xml:space="preserve"> </w:t>
      </w:r>
      <w:r w:rsidRPr="003E0613">
        <w:rPr>
          <w:rFonts w:ascii="Times New Roman" w:hAnsi="Times New Roman" w:cs="Times New Roman"/>
          <w:sz w:val="28"/>
          <w:szCs w:val="28"/>
        </w:rPr>
        <w:t>(damage to riverbed and federal government’s navigational servitude)</w:t>
      </w:r>
    </w:p>
    <w:p w14:paraId="34A560E5"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4782FEF8" w14:textId="599F8F0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Arkansas Writers’ Project, Inc. v. Ragland, 481 U.S. 221 (1987)</w:t>
      </w:r>
      <w:r w:rsidR="00AE19FF">
        <w:rPr>
          <w:rFonts w:ascii="Times New Roman" w:hAnsi="Times New Roman" w:cs="Times New Roman"/>
          <w:sz w:val="28"/>
          <w:szCs w:val="28"/>
        </w:rPr>
        <w:t xml:space="preserve"> </w:t>
      </w:r>
      <w:r w:rsidRPr="003E0613">
        <w:rPr>
          <w:rFonts w:ascii="Times New Roman" w:hAnsi="Times New Roman" w:cs="Times New Roman"/>
          <w:sz w:val="28"/>
          <w:szCs w:val="28"/>
        </w:rPr>
        <w:t>(sales tax on magazines and the First Amendment)</w:t>
      </w:r>
    </w:p>
    <w:p w14:paraId="077C3867"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438C85C2" w14:textId="593EF0FC"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Rock v. Arkansas, 483 U.S. 44 (1987)</w:t>
      </w:r>
      <w:r w:rsidR="00AE19FF">
        <w:rPr>
          <w:rFonts w:ascii="Times New Roman" w:hAnsi="Times New Roman" w:cs="Times New Roman"/>
          <w:sz w:val="28"/>
          <w:szCs w:val="28"/>
        </w:rPr>
        <w:t xml:space="preserve"> </w:t>
      </w:r>
      <w:r w:rsidRPr="003E0613">
        <w:rPr>
          <w:rFonts w:ascii="Times New Roman" w:hAnsi="Times New Roman" w:cs="Times New Roman"/>
          <w:sz w:val="28"/>
          <w:szCs w:val="28"/>
        </w:rPr>
        <w:t>(hypnotically refreshed testimony)</w:t>
      </w:r>
    </w:p>
    <w:p w14:paraId="00F4421D"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359915D2" w14:textId="5EAFCD89"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Lockhart v. Nelson, 488 U.S. 33 (1988)</w:t>
      </w:r>
      <w:r w:rsidR="00AE19FF">
        <w:rPr>
          <w:rFonts w:ascii="Times New Roman" w:hAnsi="Times New Roman" w:cs="Times New Roman"/>
          <w:sz w:val="28"/>
          <w:szCs w:val="28"/>
        </w:rPr>
        <w:t xml:space="preserve"> </w:t>
      </w:r>
      <w:r w:rsidRPr="003E0613">
        <w:rPr>
          <w:rFonts w:ascii="Times New Roman" w:hAnsi="Times New Roman" w:cs="Times New Roman"/>
          <w:sz w:val="28"/>
          <w:szCs w:val="28"/>
        </w:rPr>
        <w:t>(double jeopardy)</w:t>
      </w:r>
    </w:p>
    <w:p w14:paraId="4CE6F77A"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53B0CE9F" w14:textId="196CE061"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American Trucking Associations v. Smith, 496 U.S. 167 (1990) (highway use taxes and the Commerce Clause)</w:t>
      </w:r>
    </w:p>
    <w:p w14:paraId="40F398A8"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5C343846" w14:textId="00E8BA64"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Leathers v. Medlock, 449 U.S. 349 (1991)</w:t>
      </w:r>
      <w:r w:rsidR="00AE19FF">
        <w:rPr>
          <w:rFonts w:ascii="Times New Roman" w:hAnsi="Times New Roman" w:cs="Times New Roman"/>
          <w:sz w:val="28"/>
          <w:szCs w:val="28"/>
        </w:rPr>
        <w:t xml:space="preserve"> </w:t>
      </w:r>
      <w:r w:rsidRPr="003E0613">
        <w:rPr>
          <w:rFonts w:ascii="Times New Roman" w:hAnsi="Times New Roman" w:cs="Times New Roman"/>
          <w:sz w:val="28"/>
          <w:szCs w:val="28"/>
        </w:rPr>
        <w:t>(sales tax on cable television services and the First Amendment)</w:t>
      </w:r>
    </w:p>
    <w:p w14:paraId="5A5FCE10"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28712696" w14:textId="6DEBBBFE"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U.S. Term Limits, Inc. v. Thornton, 514 U.S. 779 (1995)</w:t>
      </w:r>
      <w:r w:rsidR="00AE19FF">
        <w:rPr>
          <w:rFonts w:ascii="Times New Roman" w:hAnsi="Times New Roman" w:cs="Times New Roman"/>
          <w:sz w:val="28"/>
          <w:szCs w:val="28"/>
        </w:rPr>
        <w:t xml:space="preserve"> </w:t>
      </w:r>
      <w:r w:rsidRPr="003E0613">
        <w:rPr>
          <w:rFonts w:ascii="Times New Roman" w:hAnsi="Times New Roman" w:cs="Times New Roman"/>
          <w:sz w:val="28"/>
          <w:szCs w:val="28"/>
        </w:rPr>
        <w:t>(</w:t>
      </w:r>
      <w:r w:rsidR="00AE19FF">
        <w:rPr>
          <w:rFonts w:ascii="Times New Roman" w:hAnsi="Times New Roman" w:cs="Times New Roman"/>
          <w:sz w:val="28"/>
          <w:szCs w:val="28"/>
        </w:rPr>
        <w:t xml:space="preserve">Arkansas constitutional amendment setting </w:t>
      </w:r>
      <w:r w:rsidRPr="003E0613">
        <w:rPr>
          <w:rFonts w:ascii="Times New Roman" w:hAnsi="Times New Roman" w:cs="Times New Roman"/>
          <w:sz w:val="28"/>
          <w:szCs w:val="28"/>
        </w:rPr>
        <w:t>term limits for Members of Congress)</w:t>
      </w:r>
    </w:p>
    <w:p w14:paraId="17E21C1D"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4087546E" w14:textId="77777777" w:rsidR="00015C5F" w:rsidRDefault="00015C5F" w:rsidP="003E0613">
      <w:pPr>
        <w:autoSpaceDE w:val="0"/>
        <w:autoSpaceDN w:val="0"/>
        <w:adjustRightInd w:val="0"/>
        <w:spacing w:after="0" w:line="240" w:lineRule="auto"/>
        <w:rPr>
          <w:rFonts w:ascii="Times New Roman" w:hAnsi="Times New Roman" w:cs="Times New Roman"/>
          <w:sz w:val="28"/>
          <w:szCs w:val="28"/>
        </w:rPr>
      </w:pPr>
    </w:p>
    <w:p w14:paraId="0ED31DDB" w14:textId="77777777" w:rsidR="00015C5F" w:rsidRDefault="00015C5F" w:rsidP="003E0613">
      <w:pPr>
        <w:autoSpaceDE w:val="0"/>
        <w:autoSpaceDN w:val="0"/>
        <w:adjustRightInd w:val="0"/>
        <w:spacing w:after="0" w:line="240" w:lineRule="auto"/>
        <w:rPr>
          <w:rFonts w:ascii="Times New Roman" w:hAnsi="Times New Roman" w:cs="Times New Roman"/>
          <w:sz w:val="28"/>
          <w:szCs w:val="28"/>
        </w:rPr>
      </w:pPr>
    </w:p>
    <w:p w14:paraId="5F01C6A1" w14:textId="77777777" w:rsidR="00015C5F" w:rsidRDefault="00015C5F" w:rsidP="003E0613">
      <w:pPr>
        <w:autoSpaceDE w:val="0"/>
        <w:autoSpaceDN w:val="0"/>
        <w:adjustRightInd w:val="0"/>
        <w:spacing w:after="0" w:line="240" w:lineRule="auto"/>
        <w:rPr>
          <w:rFonts w:ascii="Times New Roman" w:hAnsi="Times New Roman" w:cs="Times New Roman"/>
          <w:sz w:val="28"/>
          <w:szCs w:val="28"/>
        </w:rPr>
      </w:pPr>
    </w:p>
    <w:p w14:paraId="1A52C0DB" w14:textId="77777777" w:rsidR="00015C5F" w:rsidRDefault="00015C5F" w:rsidP="003E0613">
      <w:pPr>
        <w:autoSpaceDE w:val="0"/>
        <w:autoSpaceDN w:val="0"/>
        <w:adjustRightInd w:val="0"/>
        <w:spacing w:after="0" w:line="240" w:lineRule="auto"/>
        <w:rPr>
          <w:rFonts w:ascii="Times New Roman" w:hAnsi="Times New Roman" w:cs="Times New Roman"/>
          <w:sz w:val="28"/>
          <w:szCs w:val="28"/>
        </w:rPr>
      </w:pPr>
    </w:p>
    <w:p w14:paraId="42EB0F74" w14:textId="77777777" w:rsidR="00015C5F" w:rsidRDefault="00015C5F" w:rsidP="003E0613">
      <w:pPr>
        <w:autoSpaceDE w:val="0"/>
        <w:autoSpaceDN w:val="0"/>
        <w:adjustRightInd w:val="0"/>
        <w:spacing w:after="0" w:line="240" w:lineRule="auto"/>
        <w:rPr>
          <w:rFonts w:ascii="Times New Roman" w:hAnsi="Times New Roman" w:cs="Times New Roman"/>
          <w:sz w:val="28"/>
          <w:szCs w:val="28"/>
        </w:rPr>
      </w:pPr>
    </w:p>
    <w:p w14:paraId="37CB2245" w14:textId="77777777" w:rsidR="00015C5F" w:rsidRDefault="00015C5F" w:rsidP="003E0613">
      <w:pPr>
        <w:autoSpaceDE w:val="0"/>
        <w:autoSpaceDN w:val="0"/>
        <w:adjustRightInd w:val="0"/>
        <w:spacing w:after="0" w:line="240" w:lineRule="auto"/>
        <w:rPr>
          <w:rFonts w:ascii="Times New Roman" w:hAnsi="Times New Roman" w:cs="Times New Roman"/>
          <w:sz w:val="28"/>
          <w:szCs w:val="28"/>
        </w:rPr>
      </w:pPr>
    </w:p>
    <w:p w14:paraId="07680290" w14:textId="77777777" w:rsidR="00015C5F" w:rsidRDefault="00015C5F" w:rsidP="003E0613">
      <w:pPr>
        <w:autoSpaceDE w:val="0"/>
        <w:autoSpaceDN w:val="0"/>
        <w:adjustRightInd w:val="0"/>
        <w:spacing w:after="0" w:line="240" w:lineRule="auto"/>
        <w:rPr>
          <w:rFonts w:ascii="Times New Roman" w:hAnsi="Times New Roman" w:cs="Times New Roman"/>
          <w:sz w:val="28"/>
          <w:szCs w:val="28"/>
        </w:rPr>
      </w:pPr>
    </w:p>
    <w:p w14:paraId="24218182" w14:textId="77777777" w:rsidR="00015C5F" w:rsidRDefault="00015C5F" w:rsidP="003E0613">
      <w:pPr>
        <w:autoSpaceDE w:val="0"/>
        <w:autoSpaceDN w:val="0"/>
        <w:adjustRightInd w:val="0"/>
        <w:spacing w:after="0" w:line="240" w:lineRule="auto"/>
        <w:rPr>
          <w:rFonts w:ascii="Times New Roman" w:hAnsi="Times New Roman" w:cs="Times New Roman"/>
          <w:sz w:val="28"/>
          <w:szCs w:val="28"/>
        </w:rPr>
      </w:pPr>
    </w:p>
    <w:p w14:paraId="585D5349" w14:textId="65A1F97D" w:rsid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lastRenderedPageBreak/>
        <w:t>Clinton v. Jones, 520 U.S. 681 (1997)</w:t>
      </w:r>
      <w:r w:rsidR="00AE19FF">
        <w:rPr>
          <w:rFonts w:ascii="Times New Roman" w:hAnsi="Times New Roman" w:cs="Times New Roman"/>
          <w:sz w:val="28"/>
          <w:szCs w:val="28"/>
        </w:rPr>
        <w:t xml:space="preserve"> </w:t>
      </w:r>
      <w:r w:rsidRPr="003E0613">
        <w:rPr>
          <w:rFonts w:ascii="Times New Roman" w:hAnsi="Times New Roman" w:cs="Times New Roman"/>
          <w:sz w:val="28"/>
          <w:szCs w:val="28"/>
        </w:rPr>
        <w:t xml:space="preserve">(tort claim against </w:t>
      </w:r>
      <w:r w:rsidR="00AE19FF">
        <w:rPr>
          <w:rFonts w:ascii="Times New Roman" w:hAnsi="Times New Roman" w:cs="Times New Roman"/>
          <w:sz w:val="28"/>
          <w:szCs w:val="28"/>
        </w:rPr>
        <w:t xml:space="preserve">the </w:t>
      </w:r>
      <w:r w:rsidRPr="003E0613">
        <w:rPr>
          <w:rFonts w:ascii="Times New Roman" w:hAnsi="Times New Roman" w:cs="Times New Roman"/>
          <w:sz w:val="28"/>
          <w:szCs w:val="28"/>
        </w:rPr>
        <w:t>President)</w:t>
      </w:r>
    </w:p>
    <w:p w14:paraId="7DBF9A48" w14:textId="77777777" w:rsidR="00E07C78" w:rsidRDefault="00E07C78" w:rsidP="003E0613">
      <w:pPr>
        <w:autoSpaceDE w:val="0"/>
        <w:autoSpaceDN w:val="0"/>
        <w:adjustRightInd w:val="0"/>
        <w:spacing w:after="0" w:line="240" w:lineRule="auto"/>
        <w:rPr>
          <w:rFonts w:ascii="Times New Roman" w:hAnsi="Times New Roman" w:cs="Times New Roman"/>
          <w:sz w:val="28"/>
          <w:szCs w:val="28"/>
        </w:rPr>
      </w:pPr>
    </w:p>
    <w:p w14:paraId="646A5893" w14:textId="7EB6E16C" w:rsidR="00E07C78" w:rsidRDefault="00E07C78" w:rsidP="00E07C78">
      <w:pPr>
        <w:autoSpaceDE w:val="0"/>
        <w:autoSpaceDN w:val="0"/>
        <w:adjustRightInd w:val="0"/>
        <w:spacing w:after="0" w:line="240" w:lineRule="auto"/>
        <w:jc w:val="center"/>
        <w:rPr>
          <w:rFonts w:ascii="Times New Roman" w:hAnsi="Times New Roman" w:cs="Times New Roman"/>
          <w:sz w:val="28"/>
          <w:szCs w:val="28"/>
        </w:rPr>
      </w:pPr>
      <w:r w:rsidRPr="00E07C78">
        <w:rPr>
          <w:rFonts w:ascii="Times New Roman" w:hAnsi="Times New Roman" w:cs="Times New Roman"/>
          <w:noProof/>
          <w:sz w:val="28"/>
          <w:szCs w:val="28"/>
        </w:rPr>
        <w:drawing>
          <wp:inline distT="0" distB="0" distL="0" distR="0" wp14:anchorId="48F2D941" wp14:editId="2ECAC42C">
            <wp:extent cx="4352925" cy="244805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72332" cy="2458970"/>
                    </a:xfrm>
                    <a:prstGeom prst="rect">
                      <a:avLst/>
                    </a:prstGeom>
                  </pic:spPr>
                </pic:pic>
              </a:graphicData>
            </a:graphic>
          </wp:inline>
        </w:drawing>
      </w:r>
    </w:p>
    <w:p w14:paraId="22974432" w14:textId="77777777" w:rsidR="00E07C78" w:rsidRDefault="00E07C78" w:rsidP="003E0613">
      <w:pPr>
        <w:autoSpaceDE w:val="0"/>
        <w:autoSpaceDN w:val="0"/>
        <w:adjustRightInd w:val="0"/>
        <w:spacing w:after="0" w:line="240" w:lineRule="auto"/>
        <w:rPr>
          <w:rFonts w:ascii="Times New Roman" w:hAnsi="Times New Roman" w:cs="Times New Roman"/>
          <w:sz w:val="28"/>
          <w:szCs w:val="28"/>
        </w:rPr>
      </w:pPr>
    </w:p>
    <w:p w14:paraId="0F50EDB1"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2EBB4E6F"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Arkansas Educational Television Commission v. Forbes, 523 U.S. 666 (1998) (exclusion of candidate for Third Congressional District from television debate)</w:t>
      </w:r>
    </w:p>
    <w:p w14:paraId="62BCB577"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7C8A7875" w14:textId="720D4833"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Arkansas v. Sullivan, 532 U.S. 769 (2001)</w:t>
      </w:r>
      <w:r w:rsidR="00AE19FF">
        <w:rPr>
          <w:rFonts w:ascii="Times New Roman" w:hAnsi="Times New Roman" w:cs="Times New Roman"/>
          <w:sz w:val="28"/>
          <w:szCs w:val="28"/>
        </w:rPr>
        <w:t xml:space="preserve"> </w:t>
      </w:r>
      <w:r w:rsidRPr="003E0613">
        <w:rPr>
          <w:rFonts w:ascii="Times New Roman" w:hAnsi="Times New Roman" w:cs="Times New Roman"/>
          <w:sz w:val="28"/>
          <w:szCs w:val="28"/>
        </w:rPr>
        <w:t>(search and seizure)</w:t>
      </w:r>
    </w:p>
    <w:p w14:paraId="673C25B9"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098028EA"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 xml:space="preserve">Rousey v. </w:t>
      </w:r>
      <w:proofErr w:type="spellStart"/>
      <w:r w:rsidRPr="003E0613">
        <w:rPr>
          <w:rFonts w:ascii="Times New Roman" w:hAnsi="Times New Roman" w:cs="Times New Roman"/>
          <w:sz w:val="28"/>
          <w:szCs w:val="28"/>
        </w:rPr>
        <w:t>Jacoway</w:t>
      </w:r>
      <w:proofErr w:type="spellEnd"/>
      <w:r w:rsidRPr="003E0613">
        <w:rPr>
          <w:rFonts w:ascii="Times New Roman" w:hAnsi="Times New Roman" w:cs="Times New Roman"/>
          <w:sz w:val="28"/>
          <w:szCs w:val="28"/>
        </w:rPr>
        <w:t>, 544 U.S. 320 (2004) (Individual Retirement Accounts and bankruptcy)</w:t>
      </w:r>
    </w:p>
    <w:p w14:paraId="14AE5268"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7E9C1880" w14:textId="05A47D0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Jones v. Flowers, 547 U.S. 220, (2006)</w:t>
      </w:r>
      <w:r w:rsidR="00AE19FF">
        <w:rPr>
          <w:rFonts w:ascii="Times New Roman" w:hAnsi="Times New Roman" w:cs="Times New Roman"/>
          <w:sz w:val="28"/>
          <w:szCs w:val="28"/>
        </w:rPr>
        <w:t xml:space="preserve"> </w:t>
      </w:r>
      <w:r w:rsidRPr="003E0613">
        <w:rPr>
          <w:rFonts w:ascii="Times New Roman" w:hAnsi="Times New Roman" w:cs="Times New Roman"/>
          <w:sz w:val="28"/>
          <w:szCs w:val="28"/>
        </w:rPr>
        <w:t>(Due process and notice in tax delinquency proceeding)</w:t>
      </w:r>
    </w:p>
    <w:p w14:paraId="4564D398"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48165A0A" w14:textId="776EA523"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Arkansas Department of Health and Human Services v. Ahlborn, 547 U.S. 268 (2006) (Medicaid lien)</w:t>
      </w:r>
    </w:p>
    <w:p w14:paraId="1C891A16"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52BA7969" w14:textId="6AC237B5"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roofErr w:type="spellStart"/>
      <w:r w:rsidRPr="003E0613">
        <w:rPr>
          <w:rFonts w:ascii="Times New Roman" w:hAnsi="Times New Roman" w:cs="Times New Roman"/>
          <w:sz w:val="28"/>
          <w:szCs w:val="28"/>
        </w:rPr>
        <w:t>Blueford</w:t>
      </w:r>
      <w:proofErr w:type="spellEnd"/>
      <w:r w:rsidRPr="003E0613">
        <w:rPr>
          <w:rFonts w:ascii="Times New Roman" w:hAnsi="Times New Roman" w:cs="Times New Roman"/>
          <w:sz w:val="28"/>
          <w:szCs w:val="28"/>
        </w:rPr>
        <w:t xml:space="preserve"> v. Arkansas, 566 U.S. 509 (2012)</w:t>
      </w:r>
      <w:r w:rsidR="00AE19FF">
        <w:rPr>
          <w:rFonts w:ascii="Times New Roman" w:hAnsi="Times New Roman" w:cs="Times New Roman"/>
          <w:sz w:val="28"/>
          <w:szCs w:val="28"/>
        </w:rPr>
        <w:t xml:space="preserve"> </w:t>
      </w:r>
      <w:r w:rsidRPr="003E0613">
        <w:rPr>
          <w:rFonts w:ascii="Times New Roman" w:hAnsi="Times New Roman" w:cs="Times New Roman"/>
          <w:sz w:val="28"/>
          <w:szCs w:val="28"/>
        </w:rPr>
        <w:t>(double jeopardy)</w:t>
      </w:r>
    </w:p>
    <w:p w14:paraId="56D08C8E"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19AD1481" w14:textId="08681DD2"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Miller v. Alabama; Jackson v. Hobbs; 567 U.S. 460</w:t>
      </w:r>
      <w:r w:rsidR="00AE19FF">
        <w:rPr>
          <w:rFonts w:ascii="Times New Roman" w:hAnsi="Times New Roman" w:cs="Times New Roman"/>
          <w:sz w:val="28"/>
          <w:szCs w:val="28"/>
        </w:rPr>
        <w:t xml:space="preserve"> </w:t>
      </w:r>
      <w:r w:rsidRPr="003E0613">
        <w:rPr>
          <w:rFonts w:ascii="Times New Roman" w:hAnsi="Times New Roman" w:cs="Times New Roman"/>
          <w:sz w:val="28"/>
          <w:szCs w:val="28"/>
        </w:rPr>
        <w:t>(2012) (life without parole for a juvenile)</w:t>
      </w:r>
    </w:p>
    <w:p w14:paraId="1FF86870"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401FDD16" w14:textId="77777777" w:rsidR="00443651" w:rsidRDefault="00443651" w:rsidP="003E0613">
      <w:pPr>
        <w:autoSpaceDE w:val="0"/>
        <w:autoSpaceDN w:val="0"/>
        <w:adjustRightInd w:val="0"/>
        <w:spacing w:after="0" w:line="240" w:lineRule="auto"/>
        <w:rPr>
          <w:rFonts w:ascii="Times New Roman" w:hAnsi="Times New Roman" w:cs="Times New Roman"/>
          <w:sz w:val="28"/>
          <w:szCs w:val="28"/>
        </w:rPr>
      </w:pPr>
    </w:p>
    <w:p w14:paraId="1850EC12" w14:textId="77777777" w:rsidR="00443651" w:rsidRDefault="00443651" w:rsidP="003E0613">
      <w:pPr>
        <w:autoSpaceDE w:val="0"/>
        <w:autoSpaceDN w:val="0"/>
        <w:adjustRightInd w:val="0"/>
        <w:spacing w:after="0" w:line="240" w:lineRule="auto"/>
        <w:rPr>
          <w:rFonts w:ascii="Times New Roman" w:hAnsi="Times New Roman" w:cs="Times New Roman"/>
          <w:sz w:val="28"/>
          <w:szCs w:val="28"/>
        </w:rPr>
      </w:pPr>
    </w:p>
    <w:p w14:paraId="23A2B8B6" w14:textId="77777777" w:rsidR="00443651" w:rsidRDefault="00443651" w:rsidP="003E0613">
      <w:pPr>
        <w:autoSpaceDE w:val="0"/>
        <w:autoSpaceDN w:val="0"/>
        <w:adjustRightInd w:val="0"/>
        <w:spacing w:after="0" w:line="240" w:lineRule="auto"/>
        <w:rPr>
          <w:rFonts w:ascii="Times New Roman" w:hAnsi="Times New Roman" w:cs="Times New Roman"/>
          <w:sz w:val="28"/>
          <w:szCs w:val="28"/>
        </w:rPr>
      </w:pPr>
    </w:p>
    <w:p w14:paraId="5021D8E2" w14:textId="77777777" w:rsidR="00443651" w:rsidRDefault="00443651" w:rsidP="003E0613">
      <w:pPr>
        <w:autoSpaceDE w:val="0"/>
        <w:autoSpaceDN w:val="0"/>
        <w:adjustRightInd w:val="0"/>
        <w:spacing w:after="0" w:line="240" w:lineRule="auto"/>
        <w:rPr>
          <w:rFonts w:ascii="Times New Roman" w:hAnsi="Times New Roman" w:cs="Times New Roman"/>
          <w:sz w:val="28"/>
          <w:szCs w:val="28"/>
        </w:rPr>
      </w:pPr>
    </w:p>
    <w:p w14:paraId="7CD91A21" w14:textId="77777777" w:rsidR="00443651" w:rsidRDefault="00443651" w:rsidP="003E0613">
      <w:pPr>
        <w:autoSpaceDE w:val="0"/>
        <w:autoSpaceDN w:val="0"/>
        <w:adjustRightInd w:val="0"/>
        <w:spacing w:after="0" w:line="240" w:lineRule="auto"/>
        <w:rPr>
          <w:rFonts w:ascii="Times New Roman" w:hAnsi="Times New Roman" w:cs="Times New Roman"/>
          <w:sz w:val="28"/>
          <w:szCs w:val="28"/>
        </w:rPr>
      </w:pPr>
    </w:p>
    <w:p w14:paraId="17CB66C8" w14:textId="3D8A472B" w:rsid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lastRenderedPageBreak/>
        <w:t xml:space="preserve">Holt v. Hobbs, 135 S. Ct. 853 (2015) (facial hair; Religious Land Use and Institutionalized Persons Act) </w:t>
      </w:r>
    </w:p>
    <w:p w14:paraId="573F666D" w14:textId="36494109" w:rsidR="00443651" w:rsidRDefault="00443651" w:rsidP="003E0613">
      <w:pPr>
        <w:autoSpaceDE w:val="0"/>
        <w:autoSpaceDN w:val="0"/>
        <w:adjustRightInd w:val="0"/>
        <w:spacing w:after="0" w:line="240" w:lineRule="auto"/>
        <w:rPr>
          <w:rFonts w:ascii="Times New Roman" w:hAnsi="Times New Roman" w:cs="Times New Roman"/>
          <w:sz w:val="28"/>
          <w:szCs w:val="28"/>
        </w:rPr>
      </w:pPr>
    </w:p>
    <w:p w14:paraId="3350D428" w14:textId="4DBE4D16" w:rsidR="00443651" w:rsidRPr="003E0613" w:rsidRDefault="00443651" w:rsidP="00443651">
      <w:pPr>
        <w:autoSpaceDE w:val="0"/>
        <w:autoSpaceDN w:val="0"/>
        <w:adjustRightInd w:val="0"/>
        <w:spacing w:after="0" w:line="240" w:lineRule="auto"/>
        <w:jc w:val="center"/>
        <w:rPr>
          <w:rFonts w:ascii="Times New Roman" w:hAnsi="Times New Roman" w:cs="Times New Roman"/>
          <w:sz w:val="28"/>
          <w:szCs w:val="28"/>
        </w:rPr>
      </w:pPr>
      <w:r w:rsidRPr="00443651">
        <w:rPr>
          <w:rFonts w:ascii="Times New Roman" w:hAnsi="Times New Roman" w:cs="Times New Roman"/>
          <w:noProof/>
          <w:sz w:val="28"/>
          <w:szCs w:val="28"/>
        </w:rPr>
        <w:drawing>
          <wp:inline distT="0" distB="0" distL="0" distR="0" wp14:anchorId="18A0195D" wp14:editId="344D2F0D">
            <wp:extent cx="4467225" cy="251233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86408" cy="2523125"/>
                    </a:xfrm>
                    <a:prstGeom prst="rect">
                      <a:avLst/>
                    </a:prstGeom>
                  </pic:spPr>
                </pic:pic>
              </a:graphicData>
            </a:graphic>
          </wp:inline>
        </w:drawing>
      </w:r>
    </w:p>
    <w:p w14:paraId="7132D52E"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46292D56" w14:textId="1D33653E" w:rsid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Pavan v. Smith, 137 S. Ct. 2075 (2017)</w:t>
      </w:r>
      <w:r w:rsidR="00AE19FF">
        <w:rPr>
          <w:rFonts w:ascii="Times New Roman" w:hAnsi="Times New Roman" w:cs="Times New Roman"/>
          <w:sz w:val="28"/>
          <w:szCs w:val="28"/>
        </w:rPr>
        <w:t xml:space="preserve"> </w:t>
      </w:r>
      <w:r w:rsidRPr="003E0613">
        <w:rPr>
          <w:rFonts w:ascii="Times New Roman" w:hAnsi="Times New Roman" w:cs="Times New Roman"/>
          <w:sz w:val="28"/>
          <w:szCs w:val="28"/>
        </w:rPr>
        <w:t>(birth certificate for same sex parents)</w:t>
      </w:r>
    </w:p>
    <w:p w14:paraId="57BFB538" w14:textId="77777777" w:rsidR="00443651" w:rsidRDefault="00443651" w:rsidP="003E0613">
      <w:pPr>
        <w:autoSpaceDE w:val="0"/>
        <w:autoSpaceDN w:val="0"/>
        <w:adjustRightInd w:val="0"/>
        <w:spacing w:after="0" w:line="240" w:lineRule="auto"/>
        <w:rPr>
          <w:rFonts w:ascii="Times New Roman" w:hAnsi="Times New Roman" w:cs="Times New Roman"/>
          <w:sz w:val="28"/>
          <w:szCs w:val="28"/>
        </w:rPr>
      </w:pPr>
    </w:p>
    <w:p w14:paraId="4D60923D" w14:textId="5F185888" w:rsidR="00443651" w:rsidRDefault="00443651" w:rsidP="00443651">
      <w:pPr>
        <w:autoSpaceDE w:val="0"/>
        <w:autoSpaceDN w:val="0"/>
        <w:adjustRightInd w:val="0"/>
        <w:spacing w:after="0" w:line="240" w:lineRule="auto"/>
        <w:jc w:val="center"/>
        <w:rPr>
          <w:rFonts w:ascii="Times New Roman" w:hAnsi="Times New Roman" w:cs="Times New Roman"/>
          <w:sz w:val="28"/>
          <w:szCs w:val="28"/>
        </w:rPr>
      </w:pPr>
      <w:r w:rsidRPr="00443651">
        <w:rPr>
          <w:rFonts w:ascii="Times New Roman" w:hAnsi="Times New Roman" w:cs="Times New Roman"/>
          <w:noProof/>
          <w:sz w:val="28"/>
          <w:szCs w:val="28"/>
        </w:rPr>
        <w:drawing>
          <wp:inline distT="0" distB="0" distL="0" distR="0" wp14:anchorId="44094993" wp14:editId="4B5529DA">
            <wp:extent cx="4793043" cy="26955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1366" cy="2705880"/>
                    </a:xfrm>
                    <a:prstGeom prst="rect">
                      <a:avLst/>
                    </a:prstGeom>
                  </pic:spPr>
                </pic:pic>
              </a:graphicData>
            </a:graphic>
          </wp:inline>
        </w:drawing>
      </w:r>
    </w:p>
    <w:p w14:paraId="3268C202" w14:textId="77777777" w:rsidR="00443651" w:rsidRPr="003E0613" w:rsidRDefault="00443651" w:rsidP="003E0613">
      <w:pPr>
        <w:autoSpaceDE w:val="0"/>
        <w:autoSpaceDN w:val="0"/>
        <w:adjustRightInd w:val="0"/>
        <w:spacing w:after="0" w:line="240" w:lineRule="auto"/>
        <w:rPr>
          <w:rFonts w:ascii="Times New Roman" w:hAnsi="Times New Roman" w:cs="Times New Roman"/>
          <w:sz w:val="28"/>
          <w:szCs w:val="28"/>
        </w:rPr>
      </w:pPr>
    </w:p>
    <w:p w14:paraId="34BD1E2D"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563B6755" w14:textId="4EF99C0C" w:rsid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w:t>
      </w:r>
    </w:p>
    <w:p w14:paraId="58E46A8D" w14:textId="46C5807F" w:rsidR="00015C5F" w:rsidRDefault="00015C5F" w:rsidP="003E0613">
      <w:pPr>
        <w:autoSpaceDE w:val="0"/>
        <w:autoSpaceDN w:val="0"/>
        <w:adjustRightInd w:val="0"/>
        <w:spacing w:after="0" w:line="240" w:lineRule="auto"/>
        <w:rPr>
          <w:rFonts w:ascii="Times New Roman" w:hAnsi="Times New Roman" w:cs="Times New Roman"/>
          <w:sz w:val="28"/>
          <w:szCs w:val="28"/>
        </w:rPr>
      </w:pPr>
    </w:p>
    <w:p w14:paraId="21DF5A43" w14:textId="77777777" w:rsidR="00015C5F" w:rsidRPr="003E0613" w:rsidRDefault="00015C5F" w:rsidP="003E0613">
      <w:pPr>
        <w:autoSpaceDE w:val="0"/>
        <w:autoSpaceDN w:val="0"/>
        <w:adjustRightInd w:val="0"/>
        <w:spacing w:after="0" w:line="240" w:lineRule="auto"/>
        <w:rPr>
          <w:rFonts w:ascii="Times New Roman" w:hAnsi="Times New Roman" w:cs="Times New Roman"/>
          <w:sz w:val="28"/>
          <w:szCs w:val="28"/>
        </w:rPr>
      </w:pPr>
    </w:p>
    <w:p w14:paraId="3FF8108E" w14:textId="202D527E"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r w:rsidRPr="003E0613">
        <w:rPr>
          <w:rFonts w:ascii="Times New Roman" w:hAnsi="Times New Roman" w:cs="Times New Roman"/>
          <w:sz w:val="28"/>
          <w:szCs w:val="28"/>
        </w:rPr>
        <w:t xml:space="preserve">Note: The research skills of Catherine Chick, Associate Law Librarian, located these cases. I am grateful for her dedicated work on this project. </w:t>
      </w:r>
    </w:p>
    <w:p w14:paraId="6F0B0C57" w14:textId="77777777"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231831AB" w14:textId="035B1BF9" w:rsidR="003E0613" w:rsidRPr="003E0613" w:rsidRDefault="003E0613" w:rsidP="003E0613">
      <w:pPr>
        <w:autoSpaceDE w:val="0"/>
        <w:autoSpaceDN w:val="0"/>
        <w:adjustRightInd w:val="0"/>
        <w:spacing w:after="0" w:line="240" w:lineRule="auto"/>
        <w:rPr>
          <w:rFonts w:ascii="Times New Roman" w:hAnsi="Times New Roman" w:cs="Times New Roman"/>
          <w:sz w:val="28"/>
          <w:szCs w:val="28"/>
        </w:rPr>
      </w:pPr>
    </w:p>
    <w:p w14:paraId="42C5692B" w14:textId="6B04ED58" w:rsidR="009F53B8" w:rsidRDefault="009F53B8"/>
    <w:sectPr w:rsidR="009F53B8" w:rsidSect="00E07C78">
      <w:pgSz w:w="12240" w:h="15840"/>
      <w:pgMar w:top="1440" w:right="1440" w:bottom="1008" w:left="1440" w:header="1440" w:footer="144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613"/>
    <w:rsid w:val="00015C5F"/>
    <w:rsid w:val="00020D1A"/>
    <w:rsid w:val="002D1939"/>
    <w:rsid w:val="003E0613"/>
    <w:rsid w:val="00443651"/>
    <w:rsid w:val="004D2FDD"/>
    <w:rsid w:val="005F2CA2"/>
    <w:rsid w:val="00616960"/>
    <w:rsid w:val="006672BD"/>
    <w:rsid w:val="007C4C9A"/>
    <w:rsid w:val="007D6D7C"/>
    <w:rsid w:val="0096311D"/>
    <w:rsid w:val="009A70D7"/>
    <w:rsid w:val="009F53B8"/>
    <w:rsid w:val="00AE19FF"/>
    <w:rsid w:val="00AE7CAF"/>
    <w:rsid w:val="00B41020"/>
    <w:rsid w:val="00CB596D"/>
    <w:rsid w:val="00CE0955"/>
    <w:rsid w:val="00D75214"/>
    <w:rsid w:val="00E07C78"/>
    <w:rsid w:val="00E4760D"/>
    <w:rsid w:val="00F44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F8B956D"/>
  <w15:chartTrackingRefBased/>
  <w15:docId w15:val="{E4804171-7BB8-4928-83BC-0E39B452C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53B8"/>
  </w:style>
  <w:style w:type="paragraph" w:styleId="Heading1">
    <w:name w:val="heading 1"/>
    <w:basedOn w:val="Normal"/>
    <w:next w:val="Normal"/>
    <w:link w:val="Heading1Char"/>
    <w:uiPriority w:val="9"/>
    <w:qFormat/>
    <w:rsid w:val="009F53B8"/>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9F53B8"/>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F53B8"/>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F53B8"/>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9F53B8"/>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9F53B8"/>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9F53B8"/>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9F53B8"/>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9F53B8"/>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53B8"/>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9F53B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F53B8"/>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F53B8"/>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9F53B8"/>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9F53B8"/>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9F53B8"/>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9F53B8"/>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9F53B8"/>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9F53B8"/>
    <w:pPr>
      <w:spacing w:line="240" w:lineRule="auto"/>
    </w:pPr>
    <w:rPr>
      <w:b/>
      <w:bCs/>
      <w:smallCaps/>
      <w:color w:val="44546A" w:themeColor="text2"/>
    </w:rPr>
  </w:style>
  <w:style w:type="paragraph" w:styleId="Title">
    <w:name w:val="Title"/>
    <w:basedOn w:val="Normal"/>
    <w:next w:val="Normal"/>
    <w:link w:val="TitleChar"/>
    <w:uiPriority w:val="10"/>
    <w:qFormat/>
    <w:rsid w:val="009F53B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9F53B8"/>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9F53B8"/>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9F53B8"/>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9F53B8"/>
    <w:rPr>
      <w:b/>
      <w:bCs/>
    </w:rPr>
  </w:style>
  <w:style w:type="character" w:styleId="Emphasis">
    <w:name w:val="Emphasis"/>
    <w:basedOn w:val="DefaultParagraphFont"/>
    <w:uiPriority w:val="20"/>
    <w:qFormat/>
    <w:rsid w:val="009F53B8"/>
    <w:rPr>
      <w:i/>
      <w:iCs/>
    </w:rPr>
  </w:style>
  <w:style w:type="paragraph" w:styleId="NoSpacing">
    <w:name w:val="No Spacing"/>
    <w:uiPriority w:val="1"/>
    <w:qFormat/>
    <w:rsid w:val="009F53B8"/>
    <w:pPr>
      <w:spacing w:after="0" w:line="240" w:lineRule="auto"/>
    </w:pPr>
  </w:style>
  <w:style w:type="paragraph" w:styleId="Quote">
    <w:name w:val="Quote"/>
    <w:basedOn w:val="Normal"/>
    <w:next w:val="Normal"/>
    <w:link w:val="QuoteChar"/>
    <w:uiPriority w:val="29"/>
    <w:qFormat/>
    <w:rsid w:val="009F53B8"/>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9F53B8"/>
    <w:rPr>
      <w:color w:val="44546A" w:themeColor="text2"/>
      <w:sz w:val="24"/>
      <w:szCs w:val="24"/>
    </w:rPr>
  </w:style>
  <w:style w:type="paragraph" w:styleId="IntenseQuote">
    <w:name w:val="Intense Quote"/>
    <w:basedOn w:val="Normal"/>
    <w:next w:val="Normal"/>
    <w:link w:val="IntenseQuoteChar"/>
    <w:uiPriority w:val="30"/>
    <w:qFormat/>
    <w:rsid w:val="009F53B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9F53B8"/>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9F53B8"/>
    <w:rPr>
      <w:i/>
      <w:iCs/>
      <w:color w:val="595959" w:themeColor="text1" w:themeTint="A6"/>
    </w:rPr>
  </w:style>
  <w:style w:type="character" w:styleId="IntenseEmphasis">
    <w:name w:val="Intense Emphasis"/>
    <w:basedOn w:val="DefaultParagraphFont"/>
    <w:uiPriority w:val="21"/>
    <w:qFormat/>
    <w:rsid w:val="009F53B8"/>
    <w:rPr>
      <w:b/>
      <w:bCs/>
      <w:i/>
      <w:iCs/>
    </w:rPr>
  </w:style>
  <w:style w:type="character" w:styleId="SubtleReference">
    <w:name w:val="Subtle Reference"/>
    <w:basedOn w:val="DefaultParagraphFont"/>
    <w:uiPriority w:val="31"/>
    <w:qFormat/>
    <w:rsid w:val="009F53B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F53B8"/>
    <w:rPr>
      <w:b/>
      <w:bCs/>
      <w:smallCaps/>
      <w:color w:val="44546A" w:themeColor="text2"/>
      <w:u w:val="single"/>
    </w:rPr>
  </w:style>
  <w:style w:type="character" w:styleId="BookTitle">
    <w:name w:val="Book Title"/>
    <w:basedOn w:val="DefaultParagraphFont"/>
    <w:uiPriority w:val="33"/>
    <w:qFormat/>
    <w:rsid w:val="009F53B8"/>
    <w:rPr>
      <w:b/>
      <w:bCs/>
      <w:smallCaps/>
      <w:spacing w:val="10"/>
    </w:rPr>
  </w:style>
  <w:style w:type="paragraph" w:styleId="TOCHeading">
    <w:name w:val="TOC Heading"/>
    <w:basedOn w:val="Heading1"/>
    <w:next w:val="Normal"/>
    <w:uiPriority w:val="39"/>
    <w:semiHidden/>
    <w:unhideWhenUsed/>
    <w:qFormat/>
    <w:rsid w:val="009F53B8"/>
    <w:pPr>
      <w:outlineLvl w:val="9"/>
    </w:pPr>
  </w:style>
  <w:style w:type="paragraph" w:styleId="BalloonText">
    <w:name w:val="Balloon Text"/>
    <w:basedOn w:val="Normal"/>
    <w:link w:val="BalloonTextChar"/>
    <w:uiPriority w:val="99"/>
    <w:semiHidden/>
    <w:unhideWhenUsed/>
    <w:rsid w:val="00AE7C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7C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1.sldx"/><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package" Target="embeddings/Microsoft_PowerPoint_Slide.sldx"/><Relationship Id="rId10" Type="http://schemas.openxmlformats.org/officeDocument/2006/relationships/image" Target="media/image5.png"/><Relationship Id="rId4" Type="http://schemas.openxmlformats.org/officeDocument/2006/relationships/image" Target="media/image1.emf"/><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662</Words>
  <Characters>3775</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Howard W. Brill</dc:creator>
  <cp:keywords/>
  <dc:description/>
  <cp:lastModifiedBy>Howard W. Brill</cp:lastModifiedBy>
  <cp:revision>2</cp:revision>
  <cp:lastPrinted>2019-04-03T17:20:00Z</cp:lastPrinted>
  <dcterms:created xsi:type="dcterms:W3CDTF">2019-04-03T17:58:00Z</dcterms:created>
  <dcterms:modified xsi:type="dcterms:W3CDTF">2019-04-03T17:58:00Z</dcterms:modified>
</cp:coreProperties>
</file>